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8B" w:rsidRDefault="00E81AFC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5" w:tooltip="Popma comparison of 2 dosages.pdf" w:history="1">
        <w:r w:rsidR="0040518B"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Comparison of two different dosages of intra-articular triamcinolone for the treatment of knee arthritis: results of a 12-week randomized, double-blind, controlled clinical trial.</w:t>
        </w:r>
      </w:hyperlink>
    </w:p>
    <w:p w:rsidR="0040518B" w:rsidRDefault="0066212A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Popma JW, Snel FW, </w:t>
      </w:r>
      <w:r w:rsidR="0040518B">
        <w:rPr>
          <w:rFonts w:ascii="Arial" w:hAnsi="Arial" w:cs="Arial"/>
          <w:color w:val="555555"/>
          <w:sz w:val="26"/>
          <w:szCs w:val="26"/>
        </w:rPr>
        <w:t>Haagsma CJ, </w:t>
      </w:r>
      <w:hyperlink r:id="rId6" w:history="1">
        <w:r w:rsidR="0040518B" w:rsidRPr="00E81AFC">
          <w:rPr>
            <w:rStyle w:val="Hyperlink"/>
            <w:rFonts w:ascii="Arial" w:hAnsi="Arial" w:cs="Arial"/>
            <w:sz w:val="26"/>
            <w:szCs w:val="26"/>
          </w:rPr>
          <w:t xml:space="preserve">Brummelhuis-Visser </w:t>
        </w:r>
        <w:r w:rsidR="00E81AFC" w:rsidRPr="00E81AFC">
          <w:rPr>
            <w:rStyle w:val="Hyperlink"/>
            <w:rFonts w:ascii="Arial" w:hAnsi="Arial" w:cs="Arial"/>
            <w:sz w:val="26"/>
            <w:szCs w:val="26"/>
          </w:rPr>
          <w:t>PB</w:t>
        </w:r>
      </w:hyperlink>
      <w:r w:rsidR="0040518B">
        <w:rPr>
          <w:rStyle w:val="Zwaar"/>
          <w:rFonts w:ascii="Arial" w:hAnsi="Arial" w:cs="Arial"/>
          <w:color w:val="555555"/>
          <w:sz w:val="26"/>
          <w:szCs w:val="26"/>
        </w:rPr>
        <w:t>, </w:t>
      </w:r>
      <w:hyperlink r:id="rId7" w:history="1">
        <w:r w:rsidRPr="006C3DA3">
          <w:rPr>
            <w:rStyle w:val="Hyperlink"/>
            <w:rFonts w:ascii="Arial" w:hAnsi="Arial" w:cs="Arial"/>
            <w:sz w:val="26"/>
            <w:szCs w:val="26"/>
          </w:rPr>
          <w:t>Oldenhof</w:t>
        </w:r>
        <w:r w:rsidR="0040518B" w:rsidRPr="006C3DA3">
          <w:rPr>
            <w:rStyle w:val="Hyperlink"/>
            <w:rFonts w:ascii="Arial" w:hAnsi="Arial" w:cs="Arial"/>
            <w:sz w:val="26"/>
            <w:szCs w:val="26"/>
          </w:rPr>
          <w:t xml:space="preserve"> HG</w:t>
        </w:r>
        <w:r w:rsidRPr="006C3DA3">
          <w:rPr>
            <w:rStyle w:val="Hyperlink"/>
            <w:rFonts w:ascii="Arial" w:hAnsi="Arial" w:cs="Arial"/>
            <w:sz w:val="26"/>
            <w:szCs w:val="26"/>
          </w:rPr>
          <w:t>J</w:t>
        </w:r>
      </w:hyperlink>
      <w:r w:rsidR="0040518B">
        <w:rPr>
          <w:rFonts w:ascii="Arial" w:hAnsi="Arial" w:cs="Arial"/>
          <w:color w:val="555555"/>
          <w:sz w:val="26"/>
          <w:szCs w:val="26"/>
        </w:rPr>
        <w:t>, van der Palen J, van de Laar MA.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Journal of Rheumatology 2015;42:1865-1868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Style w:val="Zwaar"/>
          <w:rFonts w:ascii="Arial" w:hAnsi="Arial" w:cs="Arial"/>
          <w:color w:val="555555"/>
          <w:sz w:val="26"/>
          <w:szCs w:val="26"/>
        </w:rPr>
        <w:t> </w:t>
      </w:r>
    </w:p>
    <w:p w:rsidR="0040518B" w:rsidRDefault="00E81AFC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8" w:tooltip="Dijkstra amikacine en kanamycine 2015.pdf" w:history="1">
        <w:r w:rsidR="0040518B"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Limited sampling strategies for Therapeutic Drug Monitoring of amikacin and kanamycin in Patients with Multidrug-Resistant Tuberculosis.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Dijkstra JA, van Altena, Akkerman RO, de Lange W</w:t>
      </w:r>
      <w:r w:rsidR="0066212A">
        <w:rPr>
          <w:rFonts w:ascii="Arial" w:hAnsi="Arial" w:cs="Arial"/>
          <w:color w:val="555555"/>
          <w:sz w:val="26"/>
          <w:szCs w:val="26"/>
        </w:rPr>
        <w:t>C, Proost JH, van der Werf TS, </w:t>
      </w:r>
      <w:r>
        <w:rPr>
          <w:rFonts w:ascii="Arial" w:hAnsi="Arial" w:cs="Arial"/>
          <w:color w:val="555555"/>
          <w:sz w:val="26"/>
          <w:szCs w:val="26"/>
        </w:rPr>
        <w:t>Kosterink JG, Alffenaar JW.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International Journal of Antimicrobial Agents 2015;46(3):332-337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Style w:val="Zwaar"/>
          <w:rFonts w:ascii="Arial" w:hAnsi="Arial" w:cs="Arial"/>
          <w:color w:val="555555"/>
          <w:sz w:val="26"/>
          <w:szCs w:val="26"/>
        </w:rPr>
        <w:t> </w:t>
      </w:r>
    </w:p>
    <w:p w:rsidR="0040518B" w:rsidRDefault="00E81AFC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9" w:tooltip="Krens Safety and efficacy of the addition of simvastatin to panitumumab.pdf" w:history="1">
        <w:r w:rsidR="0040518B"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Safety and efficacy of the addition of simvastatin to panitumumab in previously treated KRAS mutant metastatic colorectal cancer patients.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Baas JM, Krens LL, Bos MM, Portielje JE, Batman E, van Wezel T, Morreau H, Guchelaar HJ, Gelderblom H.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Anticancer Drugs 2015 Sep;26(8):872-877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Style w:val="Zwaar"/>
          <w:rFonts w:ascii="Arial" w:hAnsi="Arial" w:cs="Arial"/>
          <w:color w:val="555555"/>
          <w:sz w:val="26"/>
          <w:szCs w:val="26"/>
        </w:rPr>
        <w:t> </w:t>
      </w:r>
    </w:p>
    <w:p w:rsidR="0040518B" w:rsidRDefault="00E81AFC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10" w:tooltip="Krens Safety and efficacy of the addition of simvastatin to cetuximab.pdf" w:history="1">
        <w:r w:rsidR="0040518B"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Safety and efficacy of the addition of simvastatin to cetuximab in previously treated KRAS mutant metastatic colorectal cancer patients.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Baas JM, Krens LL, Ten Tije AJ, Erdkamp F, van Wezel T, Morreau H, Gelderblom H, Guchelaar HJ.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Invest New Drugs 2015 Dec;33(6):1242-1247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40518B" w:rsidRDefault="00E81AFC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11" w:tooltip="van der Elst er al. Posaconazole 2015.pdf" w:history="1">
        <w:r w:rsidR="0040518B"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Subtherapeutic posaconazole exposure and treatment outcome in patients with invasive fungal disease.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van der Elst KC, Brouwers CH, van</w:t>
      </w:r>
      <w:r w:rsidR="0066212A">
        <w:rPr>
          <w:rFonts w:ascii="Arial" w:hAnsi="Arial" w:cs="Arial"/>
          <w:color w:val="555555"/>
          <w:sz w:val="26"/>
          <w:szCs w:val="26"/>
        </w:rPr>
        <w:t xml:space="preserve"> den Heuvel ER, van Wanrooy MJ, Uges DR, van der Werf TS, </w:t>
      </w:r>
      <w:r>
        <w:rPr>
          <w:rFonts w:ascii="Arial" w:hAnsi="Arial" w:cs="Arial"/>
          <w:color w:val="555555"/>
          <w:sz w:val="26"/>
          <w:szCs w:val="26"/>
        </w:rPr>
        <w:t>Kosterink JG, Span LF, Alffenaar JW.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Ther Drug Monit, 2015;37(6):766-771.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Style w:val="Zwaar"/>
          <w:rFonts w:ascii="Arial" w:hAnsi="Arial" w:cs="Arial"/>
          <w:color w:val="555555"/>
          <w:sz w:val="26"/>
          <w:szCs w:val="26"/>
        </w:rPr>
        <w:t> </w:t>
      </w:r>
    </w:p>
    <w:p w:rsidR="0040518B" w:rsidRDefault="00E81AFC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12" w:tooltip="Assink 2015wp0215.pdf" w:history="1">
        <w:r w:rsidR="0040518B"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Veiligheid en verdraagbaarheid van vernevelingen met amoxicilline + clavulaanzuur bij patiënten opgenomen met een COPD-exacerbatie: oriënterend onderzoek.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Assink MDM, De Saegher MEA, Nijdam LC, Van der Valk PDLPM, Brusse-Keizer MGJ, </w:t>
      </w:r>
      <w:hyperlink r:id="rId13" w:history="1">
        <w:r w:rsidRPr="00E81AFC">
          <w:rPr>
            <w:rStyle w:val="Hyperlink"/>
            <w:rFonts w:ascii="Arial" w:hAnsi="Arial" w:cs="Arial"/>
            <w:sz w:val="26"/>
            <w:szCs w:val="26"/>
          </w:rPr>
          <w:t>Brummelhuis-Visser PB</w:t>
        </w:r>
      </w:hyperlink>
      <w:r>
        <w:rPr>
          <w:rFonts w:ascii="Arial" w:hAnsi="Arial" w:cs="Arial"/>
          <w:color w:val="555555"/>
          <w:sz w:val="26"/>
          <w:szCs w:val="26"/>
        </w:rPr>
        <w:t>, Movig KLL.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PW Wetenschappelijk Platform 2015;9:a1539.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40518B" w:rsidRDefault="00E81AFC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14" w:tooltip="Jong Lara de false positive acetaminophen concentrations in icteric serum.pdf" w:history="1">
        <w:r w:rsidR="0040518B">
          <w:rPr>
            <w:rStyle w:val="Zwaar"/>
            <w:rFonts w:ascii="Arial" w:hAnsi="Arial" w:cs="Arial"/>
            <w:color w:val="2B2E76"/>
            <w:sz w:val="26"/>
            <w:szCs w:val="26"/>
            <w:u w:val="single"/>
          </w:rPr>
          <w:t>False positive acetaminophen concentrations in icteric serum.</w:t>
        </w:r>
      </w:hyperlink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De Jong L, Knapen DG, Oude Munnink TH, </w:t>
      </w:r>
      <w:hyperlink r:id="rId15" w:history="1">
        <w:r w:rsidRPr="00E81AFC">
          <w:rPr>
            <w:rStyle w:val="Hyperlink"/>
            <w:rFonts w:ascii="Arial" w:hAnsi="Arial" w:cs="Arial"/>
            <w:sz w:val="26"/>
            <w:szCs w:val="26"/>
          </w:rPr>
          <w:t>Henstra MJ</w:t>
        </w:r>
      </w:hyperlink>
      <w:r>
        <w:rPr>
          <w:rFonts w:ascii="Arial" w:hAnsi="Arial" w:cs="Arial"/>
          <w:color w:val="555555"/>
          <w:sz w:val="26"/>
          <w:szCs w:val="26"/>
        </w:rPr>
        <w:t>, Veneman TF.</w:t>
      </w:r>
    </w:p>
    <w:p w:rsidR="0040518B" w:rsidRDefault="0040518B" w:rsidP="0040518B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Pract Lab Med 2015;4:38-40</w:t>
      </w:r>
    </w:p>
    <w:p w:rsidR="00E04054" w:rsidRDefault="00E04054">
      <w:bookmarkStart w:id="0" w:name="_GoBack"/>
      <w:bookmarkEnd w:id="0"/>
    </w:p>
    <w:sectPr w:rsidR="00E0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8B"/>
    <w:rsid w:val="0040518B"/>
    <w:rsid w:val="0066212A"/>
    <w:rsid w:val="006C3DA3"/>
    <w:rsid w:val="00783B4E"/>
    <w:rsid w:val="008F112E"/>
    <w:rsid w:val="00E04054"/>
    <w:rsid w:val="00E8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0518B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40518B"/>
    <w:rPr>
      <w:b/>
      <w:bCs/>
    </w:rPr>
  </w:style>
  <w:style w:type="character" w:styleId="Hyperlink">
    <w:name w:val="Hyperlink"/>
    <w:basedOn w:val="Standaardalinea-lettertype"/>
    <w:rsid w:val="006C3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0518B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40518B"/>
    <w:rPr>
      <w:b/>
      <w:bCs/>
    </w:rPr>
  </w:style>
  <w:style w:type="character" w:styleId="Hyperlink">
    <w:name w:val="Hyperlink"/>
    <w:basedOn w:val="Standaardalinea-lettertype"/>
    <w:rsid w:val="006C3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gt.nl/media/20540/dijkstra-amikacine-en-kanamycine-2015.pdf" TargetMode="External"/><Relationship Id="rId13" Type="http://schemas.openxmlformats.org/officeDocument/2006/relationships/hyperlink" Target="https://www.zgt.nl/patienten-en-bezoekers/medisch-specialisten/brummelhuis-visser-p/?specialisme=3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gt.nl/patienten-en-bezoekers/medisch-specialisten/oldenhof-h-g-j/?specialisme=3029" TargetMode="External"/><Relationship Id="rId12" Type="http://schemas.openxmlformats.org/officeDocument/2006/relationships/hyperlink" Target="https://www.zgt.nl/media/20544/assink-2015wp0215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zgt.nl/patienten-en-bezoekers/medisch-specialisten/brummelhuis-visser-p/?specialisme=3029" TargetMode="External"/><Relationship Id="rId11" Type="http://schemas.openxmlformats.org/officeDocument/2006/relationships/hyperlink" Target="https://www.zgt.nl/media/20543/van-der-elst-er-al-posaconazole-2015.pdf" TargetMode="External"/><Relationship Id="rId5" Type="http://schemas.openxmlformats.org/officeDocument/2006/relationships/hyperlink" Target="https://www.zgt.nl/media/20539/popma-comparison-of-2-dosages.pdf" TargetMode="External"/><Relationship Id="rId15" Type="http://schemas.openxmlformats.org/officeDocument/2006/relationships/hyperlink" Target="https://www.zgt.nl/patienten-en-bezoekers/medisch-specialisten/henstra-m-j/?specialisme=3029" TargetMode="External"/><Relationship Id="rId10" Type="http://schemas.openxmlformats.org/officeDocument/2006/relationships/hyperlink" Target="https://www.zgt.nl/media/20541/krens-safety-and-efficacy-of-the-addition-of-simvastatin-to-cetuxima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gt.nl/media/20542/krens-safety-and-efficacy-of-the-addition-of-simvastatin-to-panitumumab.pdf" TargetMode="External"/><Relationship Id="rId14" Type="http://schemas.openxmlformats.org/officeDocument/2006/relationships/hyperlink" Target="https://www.zgt.nl/media/20545/jong-lara-de-false-positive-acetaminophen-concentrations-in-icteric-serum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A1F9479E.dotm</Template>
  <TotalTime>246</TotalTime>
  <Pages>1</Pages>
  <Words>272</Words>
  <Characters>3217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Wassink, K.</dc:creator>
  <cp:lastModifiedBy>Wassink, K.</cp:lastModifiedBy>
  <cp:revision>3</cp:revision>
  <dcterms:created xsi:type="dcterms:W3CDTF">2019-10-08T07:45:00Z</dcterms:created>
  <dcterms:modified xsi:type="dcterms:W3CDTF">2019-11-27T09:43:00Z</dcterms:modified>
</cp:coreProperties>
</file>