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F3" w:rsidRDefault="00B31DA2" w:rsidP="001159F3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fldChar w:fldCharType="begin"/>
      </w:r>
      <w:r>
        <w:instrText xml:space="preserve"> HYPERLINK "https://www.zgt.nl/media/20467/kruik-et-al-clopidogrel-de-switchers-2017.pdf" \o "Kruik et al Clopidogrel de switchers 2017.pdf" </w:instrText>
      </w:r>
      <w:r>
        <w:fldChar w:fldCharType="separate"/>
      </w:r>
      <w:r w:rsidR="001159F3">
        <w:rPr>
          <w:rStyle w:val="is-strong"/>
          <w:rFonts w:ascii="Arial" w:hAnsi="Arial" w:cs="Arial"/>
          <w:b/>
          <w:bCs/>
          <w:color w:val="2B2E76"/>
          <w:sz w:val="26"/>
          <w:szCs w:val="26"/>
          <w:u w:val="single"/>
        </w:rPr>
        <w:t>Decrease in switches to 'unsafe' proton pump inhibitors after communications about interactions with clopidogrel</w:t>
      </w:r>
      <w:r>
        <w:rPr>
          <w:rStyle w:val="is-strong"/>
          <w:rFonts w:ascii="Arial" w:hAnsi="Arial" w:cs="Arial"/>
          <w:b/>
          <w:bCs/>
          <w:color w:val="2B2E76"/>
          <w:sz w:val="26"/>
          <w:szCs w:val="26"/>
          <w:u w:val="single"/>
        </w:rPr>
        <w:fldChar w:fldCharType="end"/>
      </w:r>
    </w:p>
    <w:p w:rsidR="001159F3" w:rsidRDefault="00375B5A" w:rsidP="001159F3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hyperlink r:id="rId5" w:history="1">
        <w:r w:rsidR="001159F3" w:rsidRPr="008006D1">
          <w:rPr>
            <w:rStyle w:val="Hyperlink"/>
            <w:rFonts w:ascii="Arial" w:hAnsi="Arial" w:cs="Arial"/>
            <w:sz w:val="26"/>
            <w:szCs w:val="26"/>
          </w:rPr>
          <w:t>Kruik-Kollöffel WJ</w:t>
        </w:r>
      </w:hyperlink>
      <w:r w:rsidR="001159F3" w:rsidRPr="007E684A">
        <w:rPr>
          <w:rStyle w:val="Hyperlink"/>
          <w:rFonts w:ascii="Arial" w:hAnsi="Arial" w:cs="Arial"/>
          <w:sz w:val="26"/>
          <w:szCs w:val="26"/>
        </w:rPr>
        <w:t>,</w:t>
      </w:r>
      <w:r w:rsidR="001159F3">
        <w:rPr>
          <w:rFonts w:ascii="Arial" w:hAnsi="Arial" w:cs="Arial"/>
          <w:color w:val="555555"/>
          <w:sz w:val="26"/>
          <w:szCs w:val="26"/>
        </w:rPr>
        <w:t xml:space="preserve"> van der Palen J, Van Herk-Sukel MPP, Kruik HJ, Movig KLL.</w:t>
      </w:r>
    </w:p>
    <w:p w:rsidR="00382427" w:rsidRDefault="001159F3" w:rsidP="001159F3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Clin Drug Investig. 2017 Aug;37(8):787-794.</w:t>
      </w:r>
    </w:p>
    <w:p w:rsidR="001159F3" w:rsidRDefault="001159F3" w:rsidP="001159F3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 </w:t>
      </w:r>
    </w:p>
    <w:p w:rsidR="001159F3" w:rsidRDefault="00375B5A" w:rsidP="001159F3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hyperlink r:id="rId6" w:tooltip="Sezgi maagulcera.pdf" w:history="1">
        <w:r w:rsidR="001159F3">
          <w:rPr>
            <w:rStyle w:val="is-strong"/>
            <w:rFonts w:ascii="Arial" w:hAnsi="Arial" w:cs="Arial"/>
            <w:b/>
            <w:bCs/>
            <w:color w:val="2B2E76"/>
            <w:sz w:val="26"/>
            <w:szCs w:val="26"/>
            <w:u w:val="single"/>
          </w:rPr>
          <w:t>Het gebruik van risicomedicatie voor maagulcera en maagbescherming in relatie tot het ontstaan van ulcera na een bariatrische ingreep</w:t>
        </w:r>
      </w:hyperlink>
    </w:p>
    <w:p w:rsidR="001159F3" w:rsidRDefault="001159F3" w:rsidP="001159F3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Sezgi B, </w:t>
      </w:r>
      <w:hyperlink r:id="rId7" w:history="1">
        <w:r w:rsidRPr="00B039CF">
          <w:rPr>
            <w:rStyle w:val="Hyperlink"/>
            <w:rFonts w:ascii="Arial" w:hAnsi="Arial" w:cs="Arial"/>
            <w:sz w:val="26"/>
            <w:szCs w:val="26"/>
          </w:rPr>
          <w:t>Damhof MA</w:t>
        </w:r>
      </w:hyperlink>
      <w:r>
        <w:rPr>
          <w:rFonts w:ascii="Arial" w:hAnsi="Arial" w:cs="Arial"/>
          <w:color w:val="555555"/>
          <w:sz w:val="26"/>
          <w:szCs w:val="26"/>
        </w:rPr>
        <w:t>, Faneyte IF, van der Palen J, Krens LL.</w:t>
      </w:r>
    </w:p>
    <w:p w:rsidR="001159F3" w:rsidRDefault="001159F3" w:rsidP="001159F3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Ne</w:t>
      </w:r>
      <w:r w:rsidR="00B31DA2">
        <w:rPr>
          <w:rFonts w:ascii="Arial" w:hAnsi="Arial" w:cs="Arial"/>
          <w:color w:val="555555"/>
          <w:sz w:val="26"/>
          <w:szCs w:val="26"/>
        </w:rPr>
        <w:t>d Platform Farm onderzoek 2017;2</w:t>
      </w:r>
      <w:proofErr w:type="gramStart"/>
      <w:r w:rsidR="00B31DA2">
        <w:rPr>
          <w:rFonts w:ascii="Arial" w:hAnsi="Arial" w:cs="Arial"/>
          <w:color w:val="555555"/>
          <w:sz w:val="26"/>
          <w:szCs w:val="26"/>
        </w:rPr>
        <w:t>:</w:t>
      </w:r>
      <w:r>
        <w:rPr>
          <w:rFonts w:ascii="Arial" w:hAnsi="Arial" w:cs="Arial"/>
          <w:color w:val="555555"/>
          <w:sz w:val="26"/>
          <w:szCs w:val="26"/>
        </w:rPr>
        <w:t>a</w:t>
      </w:r>
      <w:proofErr w:type="gramEnd"/>
      <w:r>
        <w:rPr>
          <w:rFonts w:ascii="Arial" w:hAnsi="Arial" w:cs="Arial"/>
          <w:color w:val="555555"/>
          <w:sz w:val="26"/>
          <w:szCs w:val="26"/>
        </w:rPr>
        <w:t>1650.</w:t>
      </w:r>
    </w:p>
    <w:p w:rsidR="001159F3" w:rsidRDefault="001159F3" w:rsidP="001159F3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 </w:t>
      </w:r>
    </w:p>
    <w:p w:rsidR="001159F3" w:rsidRDefault="00375B5A" w:rsidP="001159F3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hyperlink r:id="rId8" w:tooltip="Warnders et al. 89Zr-MSB0010853 PET Imaging JNM 2017.pdf" w:history="1">
        <w:r w:rsidR="001159F3">
          <w:rPr>
            <w:rStyle w:val="is-strong"/>
            <w:rFonts w:ascii="Arial" w:hAnsi="Arial" w:cs="Arial"/>
            <w:b/>
            <w:bCs/>
            <w:color w:val="2B2E76"/>
            <w:sz w:val="26"/>
            <w:szCs w:val="26"/>
            <w:u w:val="single"/>
          </w:rPr>
          <w:t>Human epidermal growth factor receptor 3-specific tumor uptake and biodistribution of 89Zr-MSB0010853 visualized by real-time and noninvasive PET imaging</w:t>
        </w:r>
      </w:hyperlink>
    </w:p>
    <w:p w:rsidR="001159F3" w:rsidRDefault="001159F3" w:rsidP="001159F3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Warnders FJ, Terwisscha van Scheltinga AGT, Knuehl C, van Roy M, de Vries EFJ, Kosterink JGW, de Vries EGE, Lub-de Hooge MN.</w:t>
      </w:r>
    </w:p>
    <w:p w:rsidR="001159F3" w:rsidRDefault="001159F3" w:rsidP="001159F3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J Nucl Med. 2017 Aug;58(8):1210-1215.</w:t>
      </w:r>
    </w:p>
    <w:p w:rsidR="001159F3" w:rsidRDefault="001159F3" w:rsidP="001159F3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 </w:t>
      </w:r>
    </w:p>
    <w:p w:rsidR="001159F3" w:rsidRDefault="00375B5A" w:rsidP="001159F3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hyperlink r:id="rId9" w:tooltip="Elst et al. Caspofungin AAC 2017.pdf" w:history="1">
        <w:r w:rsidR="001159F3">
          <w:rPr>
            <w:rStyle w:val="is-strong"/>
            <w:rFonts w:ascii="Arial" w:hAnsi="Arial" w:cs="Arial"/>
            <w:b/>
            <w:bCs/>
            <w:color w:val="2B2E76"/>
            <w:sz w:val="26"/>
            <w:szCs w:val="26"/>
            <w:u w:val="single"/>
          </w:rPr>
          <w:t>Low caspofungin exposure in patients in intensive care units</w:t>
        </w:r>
      </w:hyperlink>
    </w:p>
    <w:p w:rsidR="001159F3" w:rsidRDefault="001159F3" w:rsidP="001159F3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Van der Elst KC, Veringa A, Zijlstra JG, Beishuizen A, Klont R, </w:t>
      </w:r>
      <w:hyperlink r:id="rId10" w:history="1">
        <w:r w:rsidRPr="003668F2">
          <w:rPr>
            <w:rStyle w:val="Hyperlink"/>
            <w:rFonts w:ascii="Arial" w:hAnsi="Arial" w:cs="Arial"/>
            <w:sz w:val="26"/>
            <w:szCs w:val="26"/>
          </w:rPr>
          <w:t>Brummelhuis-Visser P</w:t>
        </w:r>
      </w:hyperlink>
      <w:r>
        <w:rPr>
          <w:rFonts w:ascii="Arial" w:hAnsi="Arial" w:cs="Arial"/>
          <w:color w:val="555555"/>
          <w:sz w:val="26"/>
          <w:szCs w:val="26"/>
        </w:rPr>
        <w:t>, Uges DR, Touw DJ, Kosterink JG</w:t>
      </w:r>
      <w:proofErr w:type="gramStart"/>
      <w:r>
        <w:rPr>
          <w:rFonts w:ascii="Arial" w:hAnsi="Arial" w:cs="Arial"/>
          <w:color w:val="555555"/>
          <w:sz w:val="26"/>
          <w:szCs w:val="26"/>
        </w:rPr>
        <w:t>,van</w:t>
      </w:r>
      <w:proofErr w:type="gramEnd"/>
      <w:r>
        <w:rPr>
          <w:rFonts w:ascii="Arial" w:hAnsi="Arial" w:cs="Arial"/>
          <w:color w:val="555555"/>
          <w:sz w:val="26"/>
          <w:szCs w:val="26"/>
        </w:rPr>
        <w:t xml:space="preserve"> der Werf TS, Alffenaar JC.</w:t>
      </w:r>
    </w:p>
    <w:p w:rsidR="001159F3" w:rsidRDefault="001159F3" w:rsidP="001159F3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bookmarkStart w:id="0" w:name="_GoBack"/>
      <w:bookmarkEnd w:id="0"/>
      <w:r w:rsidRPr="00375B5A">
        <w:rPr>
          <w:rFonts w:ascii="Arial" w:hAnsi="Arial" w:cs="Arial"/>
          <w:sz w:val="26"/>
          <w:szCs w:val="26"/>
        </w:rPr>
        <w:t>Antimicrob Agents Chemother.</w:t>
      </w:r>
      <w:r>
        <w:rPr>
          <w:rFonts w:ascii="Arial" w:hAnsi="Arial" w:cs="Arial"/>
          <w:color w:val="555555"/>
          <w:sz w:val="26"/>
          <w:szCs w:val="26"/>
        </w:rPr>
        <w:t> 2017 Jan 24;61(2). pii: e01582-16.</w:t>
      </w:r>
    </w:p>
    <w:p w:rsidR="001159F3" w:rsidRDefault="001159F3" w:rsidP="001159F3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Style w:val="Nadruk"/>
          <w:rFonts w:ascii="Arial" w:hAnsi="Arial" w:cs="Arial"/>
          <w:b/>
          <w:bCs/>
          <w:color w:val="555555"/>
          <w:sz w:val="26"/>
          <w:szCs w:val="26"/>
        </w:rPr>
        <w:t> </w:t>
      </w:r>
    </w:p>
    <w:p w:rsidR="001159F3" w:rsidRDefault="00375B5A" w:rsidP="001159F3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hyperlink r:id="rId11" w:tooltip="Elst Micafungin AAC 2017.pdf" w:history="1">
        <w:r w:rsidR="001159F3">
          <w:rPr>
            <w:rStyle w:val="is-strong"/>
            <w:rFonts w:ascii="Arial" w:hAnsi="Arial" w:cs="Arial"/>
            <w:b/>
            <w:bCs/>
            <w:color w:val="2B2E76"/>
            <w:sz w:val="26"/>
            <w:szCs w:val="26"/>
            <w:u w:val="single"/>
          </w:rPr>
          <w:t>Pharmacokinetic properties of micafungin in critically lll patients diagnosed with invasive candidiasis</w:t>
        </w:r>
      </w:hyperlink>
    </w:p>
    <w:p w:rsidR="001159F3" w:rsidRDefault="001159F3" w:rsidP="001159F3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Boonstra JM, van der Elst KC, Veringa A, Jongedijk EM, Brüggemann RJ, Koster RA, Kampinga GA, Kosterink JG, van der Werf TS, Zijlstra JG, Touw DJ, Alffenaar JWC.</w:t>
      </w:r>
    </w:p>
    <w:p w:rsidR="001159F3" w:rsidRDefault="001159F3" w:rsidP="001159F3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Antimicrob Agents Chemother. 2017 Nov 22;61(12). pii: e01398-17.</w:t>
      </w:r>
    </w:p>
    <w:p w:rsidR="001159F3" w:rsidRDefault="001159F3" w:rsidP="001159F3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 </w:t>
      </w:r>
    </w:p>
    <w:p w:rsidR="001159F3" w:rsidRDefault="00375B5A" w:rsidP="001159F3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hyperlink r:id="rId12" w:tooltip="Elst et al. Antibiotica Myasthenia gravis Pharmaceutisch Weekblad 2017.pdf" w:history="1">
        <w:r w:rsidR="001159F3">
          <w:rPr>
            <w:rStyle w:val="is-strong"/>
            <w:rFonts w:ascii="Arial" w:hAnsi="Arial" w:cs="Arial"/>
            <w:b/>
            <w:bCs/>
            <w:color w:val="2B2E76"/>
            <w:sz w:val="26"/>
            <w:szCs w:val="26"/>
            <w:u w:val="single"/>
          </w:rPr>
          <w:t>Risico-inschatting antibiotica bij masthenia gravis</w:t>
        </w:r>
      </w:hyperlink>
    </w:p>
    <w:p w:rsidR="001159F3" w:rsidRDefault="001159F3" w:rsidP="001159F3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proofErr w:type="gramStart"/>
      <w:r>
        <w:rPr>
          <w:rFonts w:ascii="Arial" w:hAnsi="Arial" w:cs="Arial"/>
          <w:color w:val="555555"/>
          <w:sz w:val="26"/>
          <w:szCs w:val="26"/>
        </w:rPr>
        <w:t>van</w:t>
      </w:r>
      <w:proofErr w:type="gramEnd"/>
      <w:r>
        <w:rPr>
          <w:rFonts w:ascii="Arial" w:hAnsi="Arial" w:cs="Arial"/>
          <w:color w:val="555555"/>
          <w:sz w:val="26"/>
          <w:szCs w:val="26"/>
        </w:rPr>
        <w:t xml:space="preserve"> der Elst KC, van der Kooi E, van Hunsel F, van Roon E.</w:t>
      </w:r>
    </w:p>
    <w:p w:rsidR="001159F3" w:rsidRDefault="00B31DA2" w:rsidP="001159F3">
      <w:pPr>
        <w:pStyle w:val="Normaalweb"/>
        <w:spacing w:before="0" w:beforeAutospacing="0" w:after="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Pharm weekblad 2017;</w:t>
      </w:r>
      <w:r w:rsidR="001159F3">
        <w:rPr>
          <w:rFonts w:ascii="Arial" w:hAnsi="Arial" w:cs="Arial"/>
          <w:color w:val="555555"/>
          <w:sz w:val="26"/>
          <w:szCs w:val="26"/>
        </w:rPr>
        <w:t>152(49):20-21.</w:t>
      </w:r>
    </w:p>
    <w:p w:rsidR="00E04054" w:rsidRPr="001159F3" w:rsidRDefault="00E04054">
      <w:pPr>
        <w:rPr>
          <w:rFonts w:asciiTheme="minorHAnsi" w:hAnsiTheme="minorHAnsi"/>
          <w:sz w:val="26"/>
          <w:szCs w:val="26"/>
        </w:rPr>
      </w:pPr>
    </w:p>
    <w:sectPr w:rsidR="00E04054" w:rsidRPr="00115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F3"/>
    <w:rsid w:val="001159F3"/>
    <w:rsid w:val="003668F2"/>
    <w:rsid w:val="00375B5A"/>
    <w:rsid w:val="00382427"/>
    <w:rsid w:val="004318D5"/>
    <w:rsid w:val="00783B4E"/>
    <w:rsid w:val="007E684A"/>
    <w:rsid w:val="008006D1"/>
    <w:rsid w:val="008F112E"/>
    <w:rsid w:val="00B039CF"/>
    <w:rsid w:val="00B31DA2"/>
    <w:rsid w:val="00E0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1159F3"/>
    <w:pPr>
      <w:spacing w:before="100" w:beforeAutospacing="1" w:after="100" w:afterAutospacing="1"/>
    </w:pPr>
  </w:style>
  <w:style w:type="character" w:customStyle="1" w:styleId="is-strong">
    <w:name w:val="is-strong"/>
    <w:basedOn w:val="Standaardalinea-lettertype"/>
    <w:rsid w:val="001159F3"/>
  </w:style>
  <w:style w:type="character" w:styleId="Hyperlink">
    <w:name w:val="Hyperlink"/>
    <w:basedOn w:val="Standaardalinea-lettertype"/>
    <w:uiPriority w:val="99"/>
    <w:unhideWhenUsed/>
    <w:rsid w:val="001159F3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1159F3"/>
    <w:rPr>
      <w:i/>
      <w:iCs/>
    </w:rPr>
  </w:style>
  <w:style w:type="character" w:styleId="Zwaar">
    <w:name w:val="Strong"/>
    <w:basedOn w:val="Standaardalinea-lettertype"/>
    <w:uiPriority w:val="22"/>
    <w:qFormat/>
    <w:rsid w:val="00382427"/>
    <w:rPr>
      <w:b/>
      <w:bCs/>
    </w:rPr>
  </w:style>
  <w:style w:type="character" w:styleId="GevolgdeHyperlink">
    <w:name w:val="FollowedHyperlink"/>
    <w:basedOn w:val="Standaardalinea-lettertype"/>
    <w:rsid w:val="008006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1159F3"/>
    <w:pPr>
      <w:spacing w:before="100" w:beforeAutospacing="1" w:after="100" w:afterAutospacing="1"/>
    </w:pPr>
  </w:style>
  <w:style w:type="character" w:customStyle="1" w:styleId="is-strong">
    <w:name w:val="is-strong"/>
    <w:basedOn w:val="Standaardalinea-lettertype"/>
    <w:rsid w:val="001159F3"/>
  </w:style>
  <w:style w:type="character" w:styleId="Hyperlink">
    <w:name w:val="Hyperlink"/>
    <w:basedOn w:val="Standaardalinea-lettertype"/>
    <w:uiPriority w:val="99"/>
    <w:unhideWhenUsed/>
    <w:rsid w:val="001159F3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1159F3"/>
    <w:rPr>
      <w:i/>
      <w:iCs/>
    </w:rPr>
  </w:style>
  <w:style w:type="character" w:styleId="Zwaar">
    <w:name w:val="Strong"/>
    <w:basedOn w:val="Standaardalinea-lettertype"/>
    <w:uiPriority w:val="22"/>
    <w:qFormat/>
    <w:rsid w:val="00382427"/>
    <w:rPr>
      <w:b/>
      <w:bCs/>
    </w:rPr>
  </w:style>
  <w:style w:type="character" w:styleId="GevolgdeHyperlink">
    <w:name w:val="FollowedHyperlink"/>
    <w:basedOn w:val="Standaardalinea-lettertype"/>
    <w:rsid w:val="008006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gt.nl/media/20471/warnders-et-al-89zr-msb0010853-pet-imaging-jnm-201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gt.nl/patienten-en-bezoekers/medisch-specialisten/damhof-m-a/?currentpageid=2847&amp;specialisme=-1&amp;functie=10996&amp;letter=&amp;q=" TargetMode="External"/><Relationship Id="rId12" Type="http://schemas.openxmlformats.org/officeDocument/2006/relationships/hyperlink" Target="https://www.zgt.nl/media/20474/elst-et-al-antibiotica-myasthenia-gravis-pharmaceutisch-weekblad-2017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zgt.nl/media/20470/sezgi-maagulcera.pdf" TargetMode="External"/><Relationship Id="rId11" Type="http://schemas.openxmlformats.org/officeDocument/2006/relationships/hyperlink" Target="https://www.zgt.nl/media/20473/elst-micafungin-aac-2017.pdf" TargetMode="External"/><Relationship Id="rId5" Type="http://schemas.openxmlformats.org/officeDocument/2006/relationships/hyperlink" Target="https://www.zgt.nl/patienten-en-bezoekers/medisch-specialisten/kruik-kolloffel-w-j/?currentpageid=2847&amp;specialisme=3029&amp;functie=-1&amp;letter=&amp;q=" TargetMode="External"/><Relationship Id="rId10" Type="http://schemas.openxmlformats.org/officeDocument/2006/relationships/hyperlink" Target="https://www.zgt.nl/patienten-en-bezoekers/medisch-specialisten/brummelhuis-visser-p/?currentpageid=2847&amp;specialisme=-1&amp;functie=10996&amp;letter=&amp;q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gt.nl/media/20472/elst-et-al-caspofungin-aac-201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F8848A15.dotm</Template>
  <TotalTime>84</TotalTime>
  <Pages>1</Pages>
  <Words>226</Words>
  <Characters>2629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ZGT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Wassink, K.</dc:creator>
  <cp:lastModifiedBy>Wassink, K.</cp:lastModifiedBy>
  <cp:revision>8</cp:revision>
  <dcterms:created xsi:type="dcterms:W3CDTF">2019-10-03T14:31:00Z</dcterms:created>
  <dcterms:modified xsi:type="dcterms:W3CDTF">2020-02-19T09:13:00Z</dcterms:modified>
</cp:coreProperties>
</file>