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EC" w:rsidRPr="004167D5" w:rsidRDefault="004167D5" w:rsidP="00FE37EC">
      <w:pPr>
        <w:rPr>
          <w:rFonts w:ascii="Arial" w:hAnsi="Arial" w:cs="Arial"/>
          <w:b/>
          <w:color w:val="555555"/>
          <w:sz w:val="26"/>
          <w:szCs w:val="26"/>
        </w:rPr>
      </w:pPr>
      <w:r w:rsidRPr="004167D5">
        <w:rPr>
          <w:b/>
        </w:rPr>
        <w:fldChar w:fldCharType="begin"/>
      </w:r>
      <w:r w:rsidRPr="004167D5">
        <w:rPr>
          <w:b/>
        </w:rPr>
        <w:instrText xml:space="preserve"> HYPERLINK "https://www.zgt.nl/media/20508/kruik-clopidogrel-de-starters.pdf" \o "Kruik Clopidogrel de starters.pdf" </w:instrText>
      </w:r>
      <w:r w:rsidRPr="004167D5">
        <w:rPr>
          <w:b/>
        </w:rPr>
        <w:fldChar w:fldCharType="separate"/>
      </w:r>
      <w:r w:rsidR="00FE37EC" w:rsidRPr="004167D5">
        <w:rPr>
          <w:rFonts w:ascii="Arial" w:hAnsi="Arial" w:cs="Arial"/>
          <w:b/>
          <w:color w:val="2B2E76"/>
          <w:sz w:val="26"/>
          <w:szCs w:val="26"/>
          <w:u w:val="single"/>
        </w:rPr>
        <w:t>Prescription behavior for gastroprotective drugs in new users as a result of communications regarding clopidogrel–proton pump inhibitor interaction.</w:t>
      </w:r>
      <w:r w:rsidRPr="004167D5">
        <w:rPr>
          <w:rFonts w:ascii="Arial" w:hAnsi="Arial" w:cs="Arial"/>
          <w:b/>
          <w:color w:val="2B2E76"/>
          <w:sz w:val="26"/>
          <w:szCs w:val="26"/>
          <w:u w:val="single"/>
        </w:rPr>
        <w:fldChar w:fldCharType="end"/>
      </w:r>
    </w:p>
    <w:p w:rsidR="00FE37EC" w:rsidRPr="00FE37EC" w:rsidRDefault="004167D5" w:rsidP="00FE37EC">
      <w:pPr>
        <w:rPr>
          <w:rFonts w:ascii="Arial" w:hAnsi="Arial" w:cs="Arial"/>
          <w:color w:val="555555"/>
          <w:sz w:val="26"/>
          <w:szCs w:val="26"/>
        </w:rPr>
      </w:pPr>
      <w:hyperlink r:id="rId5" w:history="1">
        <w:r w:rsidR="00FE37EC" w:rsidRPr="008D04B7">
          <w:rPr>
            <w:rStyle w:val="Hyperlink"/>
            <w:rFonts w:ascii="Arial" w:hAnsi="Arial" w:cs="Arial"/>
            <w:bCs/>
            <w:sz w:val="26"/>
            <w:szCs w:val="26"/>
          </w:rPr>
          <w:t>Kruik</w:t>
        </w:r>
        <w:r w:rsidR="00FE37EC" w:rsidRPr="008D04B7">
          <w:rPr>
            <w:rStyle w:val="Hyperlink"/>
            <w:rFonts w:ascii="Cambria Math" w:hAnsi="Cambria Math" w:cs="Cambria Math"/>
            <w:bCs/>
            <w:sz w:val="26"/>
            <w:szCs w:val="26"/>
          </w:rPr>
          <w:t>‐</w:t>
        </w:r>
        <w:r w:rsidR="00FE37EC" w:rsidRPr="008D04B7">
          <w:rPr>
            <w:rStyle w:val="Hyperlink"/>
            <w:rFonts w:ascii="Arial" w:hAnsi="Arial" w:cs="Arial"/>
            <w:bCs/>
            <w:sz w:val="26"/>
            <w:szCs w:val="26"/>
          </w:rPr>
          <w:t>Kollöffel WJ</w:t>
        </w:r>
      </w:hyperlink>
      <w:r w:rsidR="003B071C">
        <w:rPr>
          <w:rFonts w:ascii="Arial" w:hAnsi="Arial" w:cs="Arial"/>
          <w:color w:val="555555"/>
          <w:sz w:val="26"/>
          <w:szCs w:val="26"/>
        </w:rPr>
        <w:t xml:space="preserve">, </w:t>
      </w:r>
      <w:r w:rsidR="00FE37EC" w:rsidRPr="00FE37EC">
        <w:rPr>
          <w:rFonts w:ascii="Arial" w:hAnsi="Arial" w:cs="Arial"/>
          <w:color w:val="555555"/>
          <w:sz w:val="26"/>
          <w:szCs w:val="26"/>
        </w:rPr>
        <w:t>Palen J, </w:t>
      </w:r>
      <w:r w:rsidR="00FE37EC" w:rsidRPr="00F10A3B">
        <w:rPr>
          <w:rFonts w:ascii="Arial" w:hAnsi="Arial" w:cs="Arial"/>
          <w:bCs/>
          <w:color w:val="555555"/>
          <w:sz w:val="26"/>
          <w:szCs w:val="26"/>
        </w:rPr>
        <w:t>Kruik HJ</w:t>
      </w:r>
      <w:r w:rsidR="00FE37EC" w:rsidRPr="00FE37EC">
        <w:rPr>
          <w:rFonts w:ascii="Arial" w:hAnsi="Arial" w:cs="Arial"/>
          <w:color w:val="555555"/>
          <w:sz w:val="26"/>
          <w:szCs w:val="26"/>
        </w:rPr>
        <w:t>, Herk</w:t>
      </w:r>
      <w:r w:rsidR="00FE37EC" w:rsidRPr="00FE37EC">
        <w:rPr>
          <w:rFonts w:ascii="Cambria Math" w:hAnsi="Cambria Math" w:cs="Cambria Math"/>
          <w:color w:val="555555"/>
          <w:sz w:val="26"/>
          <w:szCs w:val="26"/>
        </w:rPr>
        <w:t>‐</w:t>
      </w:r>
      <w:r w:rsidR="003B071C">
        <w:rPr>
          <w:rFonts w:ascii="Arial" w:hAnsi="Arial" w:cs="Arial"/>
          <w:color w:val="555555"/>
          <w:sz w:val="26"/>
          <w:szCs w:val="26"/>
        </w:rPr>
        <w:t xml:space="preserve">Sukel MP, </w:t>
      </w:r>
      <w:r w:rsidR="00FE37EC" w:rsidRPr="00FE37EC">
        <w:rPr>
          <w:rFonts w:ascii="Arial" w:hAnsi="Arial" w:cs="Arial"/>
          <w:color w:val="555555"/>
          <w:sz w:val="26"/>
          <w:szCs w:val="26"/>
        </w:rPr>
        <w:t>Movig, KL.</w:t>
      </w:r>
      <w:r w:rsidR="00FE37EC" w:rsidRPr="00FE37EC">
        <w:rPr>
          <w:rFonts w:ascii="Arial" w:hAnsi="Arial" w:cs="Arial"/>
          <w:color w:val="555555"/>
          <w:sz w:val="26"/>
          <w:szCs w:val="26"/>
        </w:rPr>
        <w:br/>
      </w:r>
      <w:r w:rsidR="00FE37EC" w:rsidRPr="008D04B7">
        <w:rPr>
          <w:rFonts w:ascii="Arial" w:hAnsi="Arial" w:cs="Arial"/>
          <w:color w:val="555555"/>
          <w:sz w:val="26"/>
          <w:szCs w:val="26"/>
        </w:rPr>
        <w:t xml:space="preserve">Pharmacology </w:t>
      </w:r>
      <w:proofErr w:type="gramStart"/>
      <w:r w:rsidR="00FE37EC" w:rsidRPr="008D04B7">
        <w:rPr>
          <w:rFonts w:ascii="Arial" w:hAnsi="Arial" w:cs="Arial"/>
          <w:color w:val="555555"/>
          <w:sz w:val="26"/>
          <w:szCs w:val="26"/>
        </w:rPr>
        <w:t>Research</w:t>
      </w:r>
      <w:proofErr w:type="gramEnd"/>
      <w:r w:rsidR="00FE37EC" w:rsidRPr="008D04B7">
        <w:rPr>
          <w:rFonts w:ascii="Arial" w:hAnsi="Arial" w:cs="Arial"/>
          <w:color w:val="555555"/>
          <w:sz w:val="26"/>
          <w:szCs w:val="26"/>
        </w:rPr>
        <w:t xml:space="preserve"> &amp; Perspectives</w:t>
      </w:r>
      <w:r w:rsidR="00FE37EC" w:rsidRPr="00FE37EC">
        <w:rPr>
          <w:rFonts w:ascii="Arial" w:hAnsi="Arial" w:cs="Arial"/>
          <w:color w:val="555555"/>
          <w:sz w:val="26"/>
          <w:szCs w:val="26"/>
        </w:rPr>
        <w:t> 2016 4(4):e00242. </w:t>
      </w:r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 </w:t>
      </w:r>
    </w:p>
    <w:p w:rsidR="00FE37EC" w:rsidRPr="004167D5" w:rsidRDefault="004167D5" w:rsidP="00FE37EC">
      <w:pPr>
        <w:rPr>
          <w:rFonts w:ascii="Arial" w:hAnsi="Arial" w:cs="Arial"/>
          <w:b/>
          <w:color w:val="555555"/>
          <w:sz w:val="26"/>
          <w:szCs w:val="26"/>
        </w:rPr>
      </w:pPr>
      <w:hyperlink r:id="rId6" w:tooltip="Elst sertraline 2016.pdf" w:history="1"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>Sertraline for HIV-associated cryptococcal meningitis.</w:t>
        </w:r>
      </w:hyperlink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Veringa A, </w:t>
      </w:r>
      <w:r w:rsidRPr="00F10A3B">
        <w:rPr>
          <w:rFonts w:ascii="Arial" w:hAnsi="Arial" w:cs="Arial"/>
          <w:bCs/>
          <w:color w:val="555555"/>
          <w:sz w:val="26"/>
          <w:szCs w:val="26"/>
        </w:rPr>
        <w:t>van der Elst KC,</w:t>
      </w:r>
      <w:r w:rsidRPr="00FE37EC">
        <w:rPr>
          <w:rFonts w:ascii="Arial" w:hAnsi="Arial" w:cs="Arial"/>
          <w:color w:val="555555"/>
          <w:sz w:val="26"/>
          <w:szCs w:val="26"/>
        </w:rPr>
        <w:t> Day JN, Thwaites GE, Alffenaar JW.</w:t>
      </w:r>
      <w:r w:rsidRPr="00FE37EC">
        <w:rPr>
          <w:rFonts w:ascii="Arial" w:hAnsi="Arial" w:cs="Arial"/>
          <w:color w:val="555555"/>
          <w:sz w:val="26"/>
          <w:szCs w:val="26"/>
        </w:rPr>
        <w:br/>
      </w:r>
      <w:r w:rsidRPr="008D04B7">
        <w:rPr>
          <w:rFonts w:ascii="Arial" w:hAnsi="Arial" w:cs="Arial"/>
          <w:color w:val="555555"/>
          <w:sz w:val="26"/>
          <w:szCs w:val="26"/>
        </w:rPr>
        <w:t>Lancet Infect Dis</w:t>
      </w:r>
      <w:r w:rsidRPr="00FE37EC">
        <w:rPr>
          <w:rFonts w:ascii="Arial" w:hAnsi="Arial" w:cs="Arial"/>
          <w:color w:val="555555"/>
          <w:sz w:val="26"/>
          <w:szCs w:val="26"/>
        </w:rPr>
        <w:t>. 2016 Oct;16(10):1111.</w:t>
      </w:r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 </w:t>
      </w:r>
    </w:p>
    <w:p w:rsidR="00FE37EC" w:rsidRPr="004167D5" w:rsidRDefault="004167D5" w:rsidP="00FE37EC">
      <w:pPr>
        <w:rPr>
          <w:rFonts w:ascii="Arial" w:hAnsi="Arial" w:cs="Arial"/>
          <w:b/>
          <w:color w:val="555555"/>
          <w:sz w:val="26"/>
          <w:szCs w:val="26"/>
        </w:rPr>
      </w:pPr>
      <w:hyperlink r:id="rId7" w:tooltip="Oude_Munnink_et_al-2016-Clinical_Pharmacology_&amp;_Therapeutics.pdf" w:history="1"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>Therapeutic drug monitoring of monoclonal antibodies in inflammatory and malignant disease: Translating TNF-α experience to oncology.</w:t>
        </w:r>
      </w:hyperlink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Oude Munnink TH,</w:t>
      </w:r>
      <w:r w:rsidRPr="00F10A3B">
        <w:rPr>
          <w:rFonts w:ascii="Arial" w:hAnsi="Arial" w:cs="Arial"/>
          <w:color w:val="0000FF"/>
          <w:sz w:val="26"/>
          <w:szCs w:val="26"/>
        </w:rPr>
        <w:t> </w:t>
      </w:r>
      <w:hyperlink r:id="rId8" w:history="1">
        <w:r w:rsidRPr="002B4B0F">
          <w:rPr>
            <w:rFonts w:ascii="Arial" w:hAnsi="Arial" w:cs="Arial"/>
            <w:bCs/>
            <w:color w:val="0000FF"/>
            <w:sz w:val="26"/>
            <w:szCs w:val="26"/>
            <w:u w:val="single"/>
          </w:rPr>
          <w:t>Henstra MJ</w:t>
        </w:r>
      </w:hyperlink>
      <w:r w:rsidRPr="00FE37EC">
        <w:rPr>
          <w:rFonts w:ascii="Arial" w:hAnsi="Arial" w:cs="Arial"/>
          <w:b/>
          <w:bCs/>
          <w:color w:val="555555"/>
          <w:sz w:val="26"/>
          <w:szCs w:val="26"/>
        </w:rPr>
        <w:t>,</w:t>
      </w:r>
      <w:r w:rsidRPr="00FE37EC">
        <w:rPr>
          <w:rFonts w:ascii="Arial" w:hAnsi="Arial" w:cs="Arial"/>
          <w:color w:val="555555"/>
          <w:sz w:val="26"/>
          <w:szCs w:val="26"/>
        </w:rPr>
        <w:t> Segerink LI, Movig KL, </w:t>
      </w:r>
      <w:hyperlink r:id="rId9" w:history="1">
        <w:r w:rsidRPr="002B4B0F">
          <w:rPr>
            <w:rStyle w:val="Hyperlink"/>
            <w:rFonts w:ascii="Arial" w:hAnsi="Arial" w:cs="Arial"/>
            <w:bCs/>
            <w:sz w:val="26"/>
            <w:szCs w:val="26"/>
          </w:rPr>
          <w:t>Brummelhuis-Visser P</w:t>
        </w:r>
        <w:r w:rsidR="00F10A3B" w:rsidRPr="002B4B0F">
          <w:rPr>
            <w:rStyle w:val="Hyperlink"/>
            <w:rFonts w:ascii="Arial" w:hAnsi="Arial" w:cs="Arial"/>
            <w:bCs/>
            <w:sz w:val="26"/>
            <w:szCs w:val="26"/>
          </w:rPr>
          <w:t>B</w:t>
        </w:r>
      </w:hyperlink>
      <w:r w:rsidRPr="002B4B0F">
        <w:rPr>
          <w:rFonts w:ascii="Arial" w:hAnsi="Arial" w:cs="Arial"/>
          <w:bCs/>
          <w:color w:val="555555"/>
          <w:sz w:val="26"/>
          <w:szCs w:val="26"/>
        </w:rPr>
        <w:t>.</w:t>
      </w:r>
      <w:r w:rsidRPr="00FE37EC">
        <w:rPr>
          <w:rFonts w:ascii="Arial" w:hAnsi="Arial" w:cs="Arial"/>
          <w:color w:val="555555"/>
          <w:sz w:val="26"/>
          <w:szCs w:val="26"/>
        </w:rPr>
        <w:br/>
      </w:r>
      <w:r w:rsidRPr="004167D5">
        <w:rPr>
          <w:rFonts w:ascii="Arial" w:hAnsi="Arial" w:cs="Arial"/>
          <w:color w:val="555555"/>
          <w:sz w:val="26"/>
          <w:szCs w:val="26"/>
        </w:rPr>
        <w:t>Clin Pharmacol Ther.</w:t>
      </w:r>
      <w:r w:rsidRPr="00FE37EC">
        <w:rPr>
          <w:rFonts w:ascii="Arial" w:hAnsi="Arial" w:cs="Arial"/>
          <w:color w:val="555555"/>
          <w:sz w:val="26"/>
          <w:szCs w:val="26"/>
        </w:rPr>
        <w:t> 2016;99(4):419-431.</w:t>
      </w:r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b/>
          <w:bCs/>
          <w:color w:val="555555"/>
          <w:sz w:val="26"/>
          <w:szCs w:val="26"/>
        </w:rPr>
        <w:t> </w:t>
      </w:r>
      <w:bookmarkStart w:id="0" w:name="_GoBack"/>
      <w:bookmarkEnd w:id="0"/>
    </w:p>
    <w:p w:rsidR="00FE37EC" w:rsidRPr="004167D5" w:rsidRDefault="004167D5" w:rsidP="00FE37EC">
      <w:pPr>
        <w:rPr>
          <w:rFonts w:ascii="Arial" w:hAnsi="Arial" w:cs="Arial"/>
          <w:b/>
          <w:color w:val="555555"/>
          <w:sz w:val="26"/>
          <w:szCs w:val="26"/>
        </w:rPr>
      </w:pPr>
      <w:hyperlink r:id="rId10" w:tooltip="Elst posaconazole 2016.pdf" w:history="1"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 xml:space="preserve">Therapeutic Drug Monitoring of Posaconazole: an </w:t>
        </w:r>
        <w:proofErr w:type="gramStart"/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>update</w:t>
        </w:r>
        <w:proofErr w:type="gramEnd"/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>.</w:t>
        </w:r>
      </w:hyperlink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Dekkers BG, Bakker M, </w:t>
      </w:r>
      <w:r w:rsidRPr="00F10A3B">
        <w:rPr>
          <w:rFonts w:ascii="Arial" w:hAnsi="Arial" w:cs="Arial"/>
          <w:bCs/>
          <w:color w:val="555555"/>
          <w:sz w:val="26"/>
          <w:szCs w:val="26"/>
        </w:rPr>
        <w:t>van der Elst KC</w:t>
      </w:r>
      <w:r w:rsidRPr="00FE37EC">
        <w:rPr>
          <w:rFonts w:ascii="Arial" w:hAnsi="Arial" w:cs="Arial"/>
          <w:color w:val="555555"/>
          <w:sz w:val="26"/>
          <w:szCs w:val="26"/>
        </w:rPr>
        <w:t>, Sturkenboom MG, Veringa A, Span LF, Alffenaar JC.</w:t>
      </w:r>
      <w:r w:rsidRPr="00FE37EC">
        <w:rPr>
          <w:rFonts w:ascii="Arial" w:hAnsi="Arial" w:cs="Arial"/>
          <w:color w:val="555555"/>
          <w:sz w:val="26"/>
          <w:szCs w:val="26"/>
        </w:rPr>
        <w:br/>
      </w:r>
      <w:r w:rsidRPr="004167D5">
        <w:rPr>
          <w:rFonts w:ascii="Arial" w:hAnsi="Arial" w:cs="Arial"/>
          <w:color w:val="555555"/>
          <w:sz w:val="26"/>
          <w:szCs w:val="26"/>
        </w:rPr>
        <w:t>Curr Fungal Infect Rep</w:t>
      </w:r>
      <w:r w:rsidR="003B071C" w:rsidRPr="00F13BE4">
        <w:rPr>
          <w:rFonts w:ascii="Arial" w:hAnsi="Arial" w:cs="Arial"/>
          <w:color w:val="555555"/>
          <w:sz w:val="26"/>
          <w:szCs w:val="26"/>
        </w:rPr>
        <w:t>.</w:t>
      </w:r>
      <w:r w:rsidR="003B071C">
        <w:rPr>
          <w:rFonts w:ascii="Arial" w:hAnsi="Arial" w:cs="Arial"/>
          <w:color w:val="555555"/>
          <w:sz w:val="26"/>
          <w:szCs w:val="26"/>
        </w:rPr>
        <w:t xml:space="preserve"> 2016;10:51-61. </w:t>
      </w:r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 </w:t>
      </w:r>
    </w:p>
    <w:p w:rsidR="00FE37EC" w:rsidRPr="004167D5" w:rsidRDefault="004167D5" w:rsidP="00FE37EC">
      <w:pPr>
        <w:rPr>
          <w:rFonts w:ascii="Arial" w:hAnsi="Arial" w:cs="Arial"/>
          <w:b/>
          <w:color w:val="555555"/>
          <w:sz w:val="26"/>
          <w:szCs w:val="26"/>
        </w:rPr>
      </w:pPr>
      <w:hyperlink r:id="rId11" w:tooltip="Jong Lara de PW a1608.pdf" w:history="1"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>Vals-positieve paracetamolspiegels in icterisch serum: een casus.</w:t>
        </w:r>
      </w:hyperlink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proofErr w:type="gramStart"/>
      <w:r w:rsidRPr="00FE37EC">
        <w:rPr>
          <w:rFonts w:ascii="Arial" w:hAnsi="Arial" w:cs="Arial"/>
          <w:color w:val="555555"/>
          <w:sz w:val="26"/>
          <w:szCs w:val="26"/>
        </w:rPr>
        <w:t>de</w:t>
      </w:r>
      <w:proofErr w:type="gramEnd"/>
      <w:r w:rsidRPr="00FE37EC">
        <w:rPr>
          <w:rFonts w:ascii="Arial" w:hAnsi="Arial" w:cs="Arial"/>
          <w:color w:val="555555"/>
          <w:sz w:val="26"/>
          <w:szCs w:val="26"/>
        </w:rPr>
        <w:t xml:space="preserve"> Jong L, Veneman TF, Oude Munnink TH, Knapen DG, </w:t>
      </w:r>
      <w:hyperlink r:id="rId12" w:history="1">
        <w:r w:rsidRPr="00F13BE4">
          <w:rPr>
            <w:rStyle w:val="Hyperlink"/>
            <w:rFonts w:ascii="Arial" w:hAnsi="Arial" w:cs="Arial"/>
            <w:sz w:val="26"/>
            <w:szCs w:val="26"/>
          </w:rPr>
          <w:t>Henstra MJ</w:t>
        </w:r>
      </w:hyperlink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Nederlands Platform voor Farmaceutisch Onderzoek 2016;1</w:t>
      </w:r>
      <w:proofErr w:type="gramStart"/>
      <w:r w:rsidRPr="00FE37EC">
        <w:rPr>
          <w:rFonts w:ascii="Arial" w:hAnsi="Arial" w:cs="Arial"/>
          <w:color w:val="555555"/>
          <w:sz w:val="26"/>
          <w:szCs w:val="26"/>
        </w:rPr>
        <w:t>:a</w:t>
      </w:r>
      <w:proofErr w:type="gramEnd"/>
      <w:r w:rsidRPr="00FE37EC">
        <w:rPr>
          <w:rFonts w:ascii="Arial" w:hAnsi="Arial" w:cs="Arial"/>
          <w:color w:val="555555"/>
          <w:sz w:val="26"/>
          <w:szCs w:val="26"/>
        </w:rPr>
        <w:t>1608.</w:t>
      </w:r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 </w:t>
      </w:r>
    </w:p>
    <w:p w:rsidR="00FE37EC" w:rsidRPr="004167D5" w:rsidRDefault="004167D5" w:rsidP="00FE37EC">
      <w:pPr>
        <w:rPr>
          <w:rFonts w:ascii="Arial" w:hAnsi="Arial" w:cs="Arial"/>
          <w:b/>
          <w:color w:val="555555"/>
          <w:sz w:val="26"/>
          <w:szCs w:val="26"/>
        </w:rPr>
      </w:pPr>
      <w:hyperlink r:id="rId13" w:tooltip="Assink.pdf" w:history="1"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>Safety and tolerability of nebulized amoxicillin-clavulanic acid in patients with COPD (STONAC 1 and STONAC 2).</w:t>
        </w:r>
      </w:hyperlink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Nijdam LC, Assink MDM, Kuijvenhoven JC, de Saegher MEA, van der Valk PDLPM, van d</w:t>
      </w:r>
      <w:r w:rsidR="003B071C">
        <w:rPr>
          <w:rFonts w:ascii="Arial" w:hAnsi="Arial" w:cs="Arial"/>
          <w:color w:val="555555"/>
          <w:sz w:val="26"/>
          <w:szCs w:val="26"/>
        </w:rPr>
        <w:t xml:space="preserve">er Palen J, Brusse-Keizer MGJ, </w:t>
      </w:r>
      <w:r w:rsidRPr="00FE37EC">
        <w:rPr>
          <w:rFonts w:ascii="Arial" w:hAnsi="Arial" w:cs="Arial"/>
          <w:color w:val="555555"/>
          <w:sz w:val="26"/>
          <w:szCs w:val="26"/>
        </w:rPr>
        <w:t>Movig KLL.</w:t>
      </w:r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proofErr w:type="gramStart"/>
      <w:r w:rsidRPr="00FE37EC">
        <w:rPr>
          <w:rFonts w:ascii="Arial" w:hAnsi="Arial" w:cs="Arial"/>
          <w:color w:val="555555"/>
          <w:sz w:val="26"/>
          <w:szCs w:val="26"/>
        </w:rPr>
        <w:t>COPD: Journal of Chronic Obstructive Pulmonary Disease 2016;13(4):448-454.</w:t>
      </w:r>
      <w:proofErr w:type="gramEnd"/>
    </w:p>
    <w:p w:rsidR="00FE37EC" w:rsidRPr="004167D5" w:rsidRDefault="00FE37EC" w:rsidP="00FE37EC">
      <w:pPr>
        <w:rPr>
          <w:rFonts w:ascii="Arial" w:hAnsi="Arial" w:cs="Arial"/>
          <w:b/>
          <w:color w:val="555555"/>
          <w:sz w:val="26"/>
          <w:szCs w:val="26"/>
        </w:rPr>
      </w:pPr>
      <w:r w:rsidRPr="004167D5">
        <w:rPr>
          <w:rFonts w:ascii="Arial" w:hAnsi="Arial" w:cs="Arial"/>
          <w:b/>
          <w:color w:val="555555"/>
          <w:sz w:val="26"/>
          <w:szCs w:val="26"/>
        </w:rPr>
        <w:t> </w:t>
      </w:r>
    </w:p>
    <w:p w:rsidR="00FE37EC" w:rsidRPr="004167D5" w:rsidRDefault="004167D5" w:rsidP="00FE37EC">
      <w:pPr>
        <w:rPr>
          <w:rFonts w:ascii="Arial" w:hAnsi="Arial" w:cs="Arial"/>
          <w:b/>
          <w:color w:val="555555"/>
          <w:sz w:val="26"/>
          <w:szCs w:val="26"/>
        </w:rPr>
      </w:pPr>
      <w:hyperlink r:id="rId14" w:tooltip="Henstra Metformine-intoxicatie NTD.pdf" w:history="1">
        <w:r w:rsidR="00FE37EC" w:rsidRPr="004167D5">
          <w:rPr>
            <w:rFonts w:ascii="Arial" w:hAnsi="Arial" w:cs="Arial"/>
            <w:b/>
            <w:color w:val="2B2E76"/>
            <w:sz w:val="26"/>
            <w:szCs w:val="26"/>
            <w:u w:val="single"/>
          </w:rPr>
          <w:t>Metformine-intoxicatie: een combinatie van ernstige hypoglykemie en lactaatacidose.</w:t>
        </w:r>
      </w:hyperlink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 xml:space="preserve">Agterhuis D, Freling H, </w:t>
      </w:r>
      <w:hyperlink r:id="rId15" w:history="1">
        <w:r w:rsidRPr="00F13BE4">
          <w:rPr>
            <w:rStyle w:val="Hyperlink"/>
            <w:rFonts w:ascii="Arial" w:hAnsi="Arial" w:cs="Arial"/>
            <w:sz w:val="26"/>
            <w:szCs w:val="26"/>
          </w:rPr>
          <w:t>Henstra M</w:t>
        </w:r>
        <w:r w:rsidR="00F10A3B" w:rsidRPr="00F13BE4">
          <w:rPr>
            <w:rStyle w:val="Hyperlink"/>
            <w:rFonts w:ascii="Arial" w:hAnsi="Arial" w:cs="Arial"/>
            <w:sz w:val="26"/>
            <w:szCs w:val="26"/>
          </w:rPr>
          <w:t>J</w:t>
        </w:r>
      </w:hyperlink>
      <w:r w:rsidR="003B071C">
        <w:rPr>
          <w:rFonts w:ascii="Arial" w:hAnsi="Arial" w:cs="Arial"/>
          <w:color w:val="555555"/>
          <w:sz w:val="26"/>
          <w:szCs w:val="26"/>
        </w:rPr>
        <w:t xml:space="preserve">, Veneman </w:t>
      </w:r>
      <w:r w:rsidRPr="00FE37EC">
        <w:rPr>
          <w:rFonts w:ascii="Arial" w:hAnsi="Arial" w:cs="Arial"/>
          <w:color w:val="555555"/>
          <w:sz w:val="26"/>
          <w:szCs w:val="26"/>
        </w:rPr>
        <w:t>ThF. Nederlands</w:t>
      </w:r>
    </w:p>
    <w:p w:rsidR="00FE37EC" w:rsidRPr="00FE37EC" w:rsidRDefault="00FE37EC" w:rsidP="00FE37EC">
      <w:pPr>
        <w:rPr>
          <w:rFonts w:ascii="Arial" w:hAnsi="Arial" w:cs="Arial"/>
          <w:color w:val="555555"/>
          <w:sz w:val="26"/>
          <w:szCs w:val="26"/>
        </w:rPr>
      </w:pPr>
      <w:r w:rsidRPr="00FE37EC">
        <w:rPr>
          <w:rFonts w:ascii="Arial" w:hAnsi="Arial" w:cs="Arial"/>
          <w:color w:val="555555"/>
          <w:sz w:val="26"/>
          <w:szCs w:val="26"/>
        </w:rPr>
        <w:t>Tijd</w:t>
      </w:r>
      <w:r w:rsidR="00F10A3B">
        <w:rPr>
          <w:rFonts w:ascii="Arial" w:hAnsi="Arial" w:cs="Arial"/>
          <w:color w:val="555555"/>
          <w:sz w:val="26"/>
          <w:szCs w:val="26"/>
        </w:rPr>
        <w:t>schrift voor Diabetologie 201</w:t>
      </w:r>
      <w:r w:rsidRPr="00FE37EC">
        <w:rPr>
          <w:rFonts w:ascii="Arial" w:hAnsi="Arial" w:cs="Arial"/>
          <w:color w:val="555555"/>
          <w:sz w:val="26"/>
          <w:szCs w:val="26"/>
        </w:rPr>
        <w:t>6;14(2):49-51</w:t>
      </w:r>
    </w:p>
    <w:p w:rsidR="00BF0043" w:rsidRPr="001159F3" w:rsidRDefault="00BF0043">
      <w:pPr>
        <w:rPr>
          <w:rFonts w:asciiTheme="minorHAnsi" w:hAnsiTheme="minorHAnsi"/>
          <w:sz w:val="26"/>
          <w:szCs w:val="26"/>
        </w:rPr>
      </w:pPr>
    </w:p>
    <w:sectPr w:rsidR="00BF0043" w:rsidRPr="0011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F3"/>
    <w:rsid w:val="000C760F"/>
    <w:rsid w:val="001159F3"/>
    <w:rsid w:val="002B4B0F"/>
    <w:rsid w:val="00382427"/>
    <w:rsid w:val="003B071C"/>
    <w:rsid w:val="003E4EF1"/>
    <w:rsid w:val="004167D5"/>
    <w:rsid w:val="004318D5"/>
    <w:rsid w:val="00783B4E"/>
    <w:rsid w:val="008374DA"/>
    <w:rsid w:val="008D04B7"/>
    <w:rsid w:val="008F112E"/>
    <w:rsid w:val="00BF0043"/>
    <w:rsid w:val="00E04054"/>
    <w:rsid w:val="00F10A3B"/>
    <w:rsid w:val="00F13BE4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159F3"/>
    <w:pPr>
      <w:spacing w:before="100" w:beforeAutospacing="1" w:after="100" w:afterAutospacing="1"/>
    </w:pPr>
  </w:style>
  <w:style w:type="character" w:customStyle="1" w:styleId="is-strong">
    <w:name w:val="is-strong"/>
    <w:basedOn w:val="Standaardalinea-lettertype"/>
    <w:rsid w:val="001159F3"/>
  </w:style>
  <w:style w:type="character" w:styleId="Hyperlink">
    <w:name w:val="Hyperlink"/>
    <w:basedOn w:val="Standaardalinea-lettertype"/>
    <w:uiPriority w:val="99"/>
    <w:unhideWhenUsed/>
    <w:rsid w:val="001159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159F3"/>
    <w:rPr>
      <w:i/>
      <w:iCs/>
    </w:rPr>
  </w:style>
  <w:style w:type="character" w:styleId="Zwaar">
    <w:name w:val="Strong"/>
    <w:basedOn w:val="Standaardalinea-lettertype"/>
    <w:uiPriority w:val="22"/>
    <w:qFormat/>
    <w:rsid w:val="003824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159F3"/>
    <w:pPr>
      <w:spacing w:before="100" w:beforeAutospacing="1" w:after="100" w:afterAutospacing="1"/>
    </w:pPr>
  </w:style>
  <w:style w:type="character" w:customStyle="1" w:styleId="is-strong">
    <w:name w:val="is-strong"/>
    <w:basedOn w:val="Standaardalinea-lettertype"/>
    <w:rsid w:val="001159F3"/>
  </w:style>
  <w:style w:type="character" w:styleId="Hyperlink">
    <w:name w:val="Hyperlink"/>
    <w:basedOn w:val="Standaardalinea-lettertype"/>
    <w:uiPriority w:val="99"/>
    <w:unhideWhenUsed/>
    <w:rsid w:val="001159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1159F3"/>
    <w:rPr>
      <w:i/>
      <w:iCs/>
    </w:rPr>
  </w:style>
  <w:style w:type="character" w:styleId="Zwaar">
    <w:name w:val="Strong"/>
    <w:basedOn w:val="Standaardalinea-lettertype"/>
    <w:uiPriority w:val="22"/>
    <w:qFormat/>
    <w:rsid w:val="00382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gt.nl/patienten-en-bezoekers/medisch-specialisten/henstra-m-j/?specialisme=3029" TargetMode="External"/><Relationship Id="rId13" Type="http://schemas.openxmlformats.org/officeDocument/2006/relationships/hyperlink" Target="https://www.zgt.nl/media/20513/ass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gt.nl/media/20514/oude_munnink_et_al-2016-clinical_pharmacology_-_therapeutics.pdf" TargetMode="External"/><Relationship Id="rId12" Type="http://schemas.openxmlformats.org/officeDocument/2006/relationships/hyperlink" Target="https://www.zgt.nl/patienten-en-bezoekers/medisch-specialisten/henstra-m-j/?specialisme=302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gt.nl/media/20509/elst-sertraline-2016.pdf" TargetMode="External"/><Relationship Id="rId11" Type="http://schemas.openxmlformats.org/officeDocument/2006/relationships/hyperlink" Target="https://www.zgt.nl/media/20512/jong-lara-de-pw-a1608.pdf" TargetMode="External"/><Relationship Id="rId5" Type="http://schemas.openxmlformats.org/officeDocument/2006/relationships/hyperlink" Target="https://www.zgt.nl/patienten-en-bezoekers/medisch-specialisten/kruik-kolloffel-w-j/?specialisme=3029" TargetMode="External"/><Relationship Id="rId15" Type="http://schemas.openxmlformats.org/officeDocument/2006/relationships/hyperlink" Target="https://www.zgt.nl/patienten-en-bezoekers/medisch-specialisten/henstra-m-j/?specialisme=3029" TargetMode="External"/><Relationship Id="rId10" Type="http://schemas.openxmlformats.org/officeDocument/2006/relationships/hyperlink" Target="https://www.zgt.nl/media/20511/elst-posaconazole-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gt.nl/patienten-en-bezoekers/medisch-specialisten/brummelhuis-visser-p/?specialisme=3029" TargetMode="External"/><Relationship Id="rId14" Type="http://schemas.openxmlformats.org/officeDocument/2006/relationships/hyperlink" Target="https://www.zgt.nl/media/20510/henstra-metformine-intoxicatie-ntd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F8848A15.dotm</Template>
  <TotalTime>21</TotalTime>
  <Pages>1</Pages>
  <Words>207</Words>
  <Characters>2742</Characters>
  <Application>Microsoft Office Word</Application>
  <DocSecurity>0</DocSecurity>
  <Lines>22</Lines>
  <Paragraphs>5</Paragraphs>
  <ScaleCrop>false</ScaleCrop>
  <Company>ZGT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Wassink, K.</dc:creator>
  <cp:lastModifiedBy>Wassink, K.</cp:lastModifiedBy>
  <cp:revision>8</cp:revision>
  <dcterms:created xsi:type="dcterms:W3CDTF">2019-11-27T11:07:00Z</dcterms:created>
  <dcterms:modified xsi:type="dcterms:W3CDTF">2020-02-19T09:13:00Z</dcterms:modified>
</cp:coreProperties>
</file>