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7" w:rsidRDefault="00DF30E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fldChar w:fldCharType="begin"/>
      </w:r>
      <w:r>
        <w:instrText xml:space="preserve"> HYPERLINK "https://www.zgt.nl/media/20459/krens-panitumumab-2018.pdf" \o "Krens panitumumab 2018.pdf" </w:instrText>
      </w:r>
      <w:r>
        <w:fldChar w:fldCharType="separate"/>
      </w:r>
      <w:r w:rsidR="00575657">
        <w:rPr>
          <w:rFonts w:ascii="Arial" w:hAnsi="Arial" w:cs="Arial"/>
          <w:b/>
          <w:bCs/>
          <w:color w:val="2B2E76"/>
          <w:sz w:val="26"/>
          <w:szCs w:val="26"/>
          <w:u w:val="single"/>
        </w:rPr>
        <w:br/>
      </w:r>
      <w:r w:rsidR="00575657"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  <w:t>Pharmacokinetics and safety of panitumumab in a patie</w:t>
      </w:r>
      <w:r w:rsidR="00004C0E"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  <w:t>n</w:t>
      </w:r>
      <w:r w:rsidR="00575657"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  <w:t>t with chronic kidney disease </w:t>
      </w:r>
      <w:r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  <w:fldChar w:fldCharType="end"/>
      </w:r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Krens LL, Baas JM, Guchelaar HJ, Gelderblom H</w:t>
      </w:r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Cancer Chemother </w:t>
      </w:r>
      <w:r w:rsidR="00537518">
        <w:rPr>
          <w:rFonts w:ascii="Arial" w:hAnsi="Arial" w:cs="Arial"/>
          <w:color w:val="555555"/>
          <w:sz w:val="26"/>
          <w:szCs w:val="26"/>
        </w:rPr>
        <w:t>Pharmacol 2018;</w:t>
      </w:r>
      <w:r>
        <w:rPr>
          <w:rFonts w:ascii="Arial" w:hAnsi="Arial" w:cs="Arial"/>
          <w:color w:val="555555"/>
          <w:sz w:val="26"/>
          <w:szCs w:val="26"/>
        </w:rPr>
        <w:t>81(1):179-182</w:t>
      </w:r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575657" w:rsidRPr="00004C0E" w:rsidRDefault="00DF30E7" w:rsidP="00575657">
      <w:pPr>
        <w:pStyle w:val="Normaalweb"/>
        <w:spacing w:before="0" w:beforeAutospacing="0" w:after="0" w:afterAutospacing="0"/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</w:pPr>
      <w:hyperlink r:id="rId5" w:history="1">
        <w:r w:rsidR="00575657" w:rsidRPr="00004C0E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‘Highs and lows</w:t>
        </w:r>
        <w:proofErr w:type="gramStart"/>
        <w:r w:rsidR="00575657" w:rsidRPr="00004C0E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’</w:t>
        </w:r>
        <w:proofErr w:type="gramEnd"/>
        <w:r w:rsidR="00575657" w:rsidRPr="00004C0E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 xml:space="preserve"> van medicina</w:t>
        </w:r>
        <w:bookmarkStart w:id="0" w:name="_GoBack"/>
        <w:bookmarkEnd w:id="0"/>
        <w:r w:rsidR="00575657" w:rsidRPr="00004C0E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l</w:t>
        </w:r>
        <w:r w:rsidR="00575657" w:rsidRPr="00004C0E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e cannabis</w:t>
        </w:r>
      </w:hyperlink>
      <w:r w:rsidR="00004C0E" w:rsidRPr="00004C0E"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  <w:t>’</w:t>
      </w:r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Van der Elst KCM, </w:t>
      </w:r>
      <w:hyperlink r:id="rId6" w:history="1">
        <w:r w:rsidRPr="00537518">
          <w:rPr>
            <w:rStyle w:val="Hyperlink"/>
            <w:rFonts w:ascii="Arial" w:hAnsi="Arial" w:cs="Arial"/>
            <w:sz w:val="26"/>
            <w:szCs w:val="26"/>
          </w:rPr>
          <w:t>Brummelhuis-Visser P</w:t>
        </w:r>
      </w:hyperlink>
      <w:r>
        <w:rPr>
          <w:rFonts w:ascii="Arial" w:hAnsi="Arial" w:cs="Arial"/>
          <w:color w:val="555555"/>
          <w:sz w:val="26"/>
          <w:szCs w:val="26"/>
        </w:rPr>
        <w:t>, van Roon E.N.</w:t>
      </w:r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PIL 2018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:editie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1 (maart).</w:t>
      </w:r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575657" w:rsidRPr="00004C0E" w:rsidRDefault="00DF30E7" w:rsidP="00575657">
      <w:pPr>
        <w:pStyle w:val="Normaalweb"/>
        <w:spacing w:before="0" w:beforeAutospacing="0" w:after="0" w:afterAutospacing="0"/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</w:pPr>
      <w:hyperlink r:id="rId7" w:tooltip="Elst candidiasis drugs and aging.pdf" w:history="1">
        <w:r w:rsidR="00575657" w:rsidRPr="00004C0E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Invasive Candidiasis in the Elderly: Considerations for Drug Therapy</w:t>
        </w:r>
      </w:hyperlink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Dekkers BGJ, Veringa A, Marriott DJE, Boonstra JM, van der Elst KCM, Doukas FF, McLachlan AJ,</w:t>
      </w:r>
      <w:r w:rsidR="006B1609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>Alffenaar JC.</w:t>
      </w:r>
    </w:p>
    <w:p w:rsidR="00575657" w:rsidRDefault="00575657" w:rsidP="00575657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Drugs Aging 2018 Sep;35(9):781-789</w:t>
      </w:r>
    </w:p>
    <w:p w:rsidR="00E04054" w:rsidRDefault="00E04054"/>
    <w:sectPr w:rsidR="00E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7"/>
    <w:rsid w:val="00004C0E"/>
    <w:rsid w:val="00537518"/>
    <w:rsid w:val="00575657"/>
    <w:rsid w:val="006B1609"/>
    <w:rsid w:val="00783B4E"/>
    <w:rsid w:val="008F112E"/>
    <w:rsid w:val="00DF30E7"/>
    <w:rsid w:val="00E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75657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575657"/>
    <w:rPr>
      <w:color w:val="0000FF"/>
      <w:u w:val="single"/>
    </w:rPr>
  </w:style>
  <w:style w:type="character" w:customStyle="1" w:styleId="is-strong">
    <w:name w:val="is-strong"/>
    <w:basedOn w:val="Standaardalinea-lettertype"/>
    <w:rsid w:val="00575657"/>
  </w:style>
  <w:style w:type="character" w:styleId="GevolgdeHyperlink">
    <w:name w:val="FollowedHyperlink"/>
    <w:basedOn w:val="Standaardalinea-lettertype"/>
    <w:rsid w:val="005375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75657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575657"/>
    <w:rPr>
      <w:color w:val="0000FF"/>
      <w:u w:val="single"/>
    </w:rPr>
  </w:style>
  <w:style w:type="character" w:customStyle="1" w:styleId="is-strong">
    <w:name w:val="is-strong"/>
    <w:basedOn w:val="Standaardalinea-lettertype"/>
    <w:rsid w:val="00575657"/>
  </w:style>
  <w:style w:type="character" w:styleId="GevolgdeHyperlink">
    <w:name w:val="FollowedHyperlink"/>
    <w:basedOn w:val="Standaardalinea-lettertype"/>
    <w:rsid w:val="00537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gt.nl/media/20458/elst-candidiasis-drugs-and-agi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gt.nl/patienten-en-bezoekers/medisch-specialisten/brummelhuis-visser-p/?currentpageid=2847&amp;specialisme=-1&amp;functie=-1&amp;letter=&amp;q=brumm" TargetMode="External"/><Relationship Id="rId5" Type="http://schemas.openxmlformats.org/officeDocument/2006/relationships/hyperlink" Target="https://www.pil-nascholing.nl/tijdschrift/editie/artikel/t/highs-and-lows-van-medicinale-cannab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22425E59.dotm</Template>
  <TotalTime>185</TotalTime>
  <Pages>1</Pages>
  <Words>74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4</cp:revision>
  <dcterms:created xsi:type="dcterms:W3CDTF">2019-10-03T07:02:00Z</dcterms:created>
  <dcterms:modified xsi:type="dcterms:W3CDTF">2020-02-24T14:51:00Z</dcterms:modified>
</cp:coreProperties>
</file>